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5896" w14:textId="003C43B8" w:rsidR="00EC0EB0" w:rsidRPr="001F3369" w:rsidRDefault="00EC0EB0" w:rsidP="00EC0EB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bookmarkStart w:id="0" w:name="_Hlk20762135"/>
      <w:bookmarkStart w:id="1" w:name="_GoBack"/>
      <w:bookmarkEnd w:id="1"/>
      <w:r w:rsidRPr="001F33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Ministru kabineta noteikumu projekta “Grozījumi Ministru kabineta 2016.gada 29.marta noteikumos Nr. 179 “ Kārtība, kādā nosakāms naudas sods par Konkurences likuma 11.panta pirmajā daļā un 13.pantā un Negodīgas mazumtirdzniecības prakses aizlieguma likum</w:t>
      </w:r>
      <w:r w:rsidR="00127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</w:t>
      </w:r>
      <w:r w:rsidRPr="001F33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5., 6., 7. un 8.pantā paredzētajiem pārkāpumiem”</w:t>
      </w:r>
    </w:p>
    <w:bookmarkEnd w:id="0"/>
    <w:p w14:paraId="6450D845" w14:textId="7D105D70" w:rsidR="00467500" w:rsidRPr="001F3369" w:rsidRDefault="00DE749B" w:rsidP="00EC0EB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3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1F3369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ziņojums</w:t>
        </w:r>
      </w:smartTag>
      <w:r w:rsidRPr="001F3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(anotācija)</w:t>
      </w:r>
    </w:p>
    <w:p w14:paraId="77DD9DE0" w14:textId="4C8F42A0" w:rsidR="00EC0EB0" w:rsidRDefault="00EC0EB0" w:rsidP="00EC0E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45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"/>
        <w:gridCol w:w="627"/>
        <w:gridCol w:w="2070"/>
        <w:gridCol w:w="1099"/>
        <w:gridCol w:w="4504"/>
      </w:tblGrid>
      <w:tr w:rsidR="00ED6D27" w:rsidRPr="00E5323B" w14:paraId="133EDBAC" w14:textId="77777777" w:rsidTr="001F3369">
        <w:trPr>
          <w:tblCellSpacing w:w="15" w:type="dxa"/>
        </w:trPr>
        <w:tc>
          <w:tcPr>
            <w:tcW w:w="496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15962" w14:textId="77777777" w:rsidR="00ED6D27" w:rsidRPr="00ED6D27" w:rsidRDefault="00ED6D27" w:rsidP="00ED6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D6D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D6D27" w:rsidRPr="00E5323B" w14:paraId="7D4B444D" w14:textId="77777777" w:rsidTr="001F3369">
        <w:trPr>
          <w:gridBefore w:val="1"/>
          <w:wBefore w:w="13" w:type="pct"/>
          <w:tblCellSpacing w:w="15" w:type="dxa"/>
        </w:trPr>
        <w:tc>
          <w:tcPr>
            <w:tcW w:w="2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E0B81" w14:textId="77777777" w:rsidR="00ED6D27" w:rsidRPr="001B6A66" w:rsidRDefault="00ED6D27" w:rsidP="005B1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B6A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C52A5" w14:textId="41A53339" w:rsidR="00ED6D27" w:rsidRPr="001B6A66" w:rsidRDefault="00ED6D27" w:rsidP="009F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437F0D">
              <w:rPr>
                <w:rFonts w:ascii="Times New Roman" w:hAnsi="Times New Roman" w:cs="Times New Roman"/>
                <w:sz w:val="24"/>
                <w:szCs w:val="24"/>
              </w:rPr>
              <w:t>Projekta ietekmes novērtējuma ziņojuma (anotācijas) I sadaļas 2. punkts nepārsniedz divas lapaspuses. Līdz ar to tiesību akta projekta anotācijas kopsavilkums uz šo ietekmes novērtējuma ziņojumu (anotāciju) neattiecas.</w:t>
            </w:r>
          </w:p>
        </w:tc>
      </w:tr>
      <w:tr w:rsidR="00CF4414" w:rsidRPr="00CF4414" w14:paraId="0370671F" w14:textId="77777777" w:rsidTr="001F3369">
        <w:trPr>
          <w:tblCellSpacing w:w="15" w:type="dxa"/>
        </w:trPr>
        <w:tc>
          <w:tcPr>
            <w:tcW w:w="496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5C8AE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F4414" w:rsidRPr="00CF4414" w14:paraId="3C32841E" w14:textId="77777777" w:rsidTr="001F3369">
        <w:trPr>
          <w:tblCellSpacing w:w="15" w:type="dxa"/>
        </w:trPr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0D4AD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B9E1C" w14:textId="77777777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4F2C7" w14:textId="2851C0D2" w:rsidR="00CF4414" w:rsidRPr="00CF4414" w:rsidRDefault="00CF4414" w:rsidP="00CF4414">
            <w:pPr>
              <w:pStyle w:val="tv2131"/>
              <w:numPr>
                <w:ilvl w:val="0"/>
                <w:numId w:val="9"/>
              </w:numPr>
              <w:spacing w:line="240" w:lineRule="auto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CF4414">
              <w:rPr>
                <w:bCs/>
                <w:iCs/>
                <w:color w:val="000000" w:themeColor="text1"/>
                <w:sz w:val="24"/>
                <w:szCs w:val="24"/>
              </w:rPr>
              <w:t>Ar Konkurences likuma (turpmāk – KL) grozījumiem, kas stāsies spēkā 2020.gada 1.janvārī, KL papildināts ar 14.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</w:rPr>
              <w:t xml:space="preserve"> pantu (Pienākums nodrošināt brīvu un godīgu konkurenci) un 14.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</w:rPr>
              <w:t xml:space="preserve"> pantu (Atbildība par brīvas un godīgas konkurences noteikumu pārkāpumu). KL 14.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</w:rPr>
              <w:t xml:space="preserve"> panta ceturtā daļa paredz,</w:t>
            </w:r>
            <w:r w:rsidR="0006796D">
              <w:rPr>
                <w:bCs/>
                <w:iCs/>
                <w:color w:val="000000" w:themeColor="text1"/>
                <w:sz w:val="24"/>
                <w:szCs w:val="24"/>
              </w:rPr>
              <w:t xml:space="preserve"> ka 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</w:rPr>
              <w:t xml:space="preserve"> Ministru kabinets (turpmāk – MK) izdod noteikumus par naudas soda noteikšanas kārtību, kuros paredz finanšu gada neto apgrozījuma aprēķināšanas īpatnības atsevišķiem gadījumiem, naudas soda apmēra noteikšanas kritērijus, kā arī atbildību mīkstinošus un pastiprinošus apstākļus</w:t>
            </w:r>
            <w:r w:rsidRPr="00CF4414">
              <w:rPr>
                <w:color w:val="000000" w:themeColor="text1"/>
                <w:sz w:val="24"/>
                <w:szCs w:val="24"/>
              </w:rPr>
              <w:t>.</w:t>
            </w:r>
          </w:p>
          <w:p w14:paraId="6BCD408E" w14:textId="163A4815" w:rsidR="00467500" w:rsidRPr="00CF4414" w:rsidRDefault="00CF4414" w:rsidP="00CF4414">
            <w:pPr>
              <w:pStyle w:val="tv2131"/>
              <w:numPr>
                <w:ilvl w:val="0"/>
                <w:numId w:val="9"/>
              </w:numPr>
              <w:spacing w:line="240" w:lineRule="auto"/>
              <w:ind w:left="357" w:hanging="357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F4414">
              <w:rPr>
                <w:bCs/>
                <w:iCs/>
                <w:color w:val="000000" w:themeColor="text1"/>
                <w:sz w:val="24"/>
                <w:szCs w:val="24"/>
              </w:rPr>
              <w:t>KL pārejas noteikumu 17.punkts paredz, ka MK līdz 2019.gada 31.decembrim izdod KL 14.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</w:rPr>
              <w:t xml:space="preserve">panta ceturtajā daļā minētos noteikumus. </w:t>
            </w:r>
          </w:p>
        </w:tc>
      </w:tr>
      <w:tr w:rsidR="004A63E5" w:rsidRPr="004A63E5" w14:paraId="2A4C97AE" w14:textId="77777777" w:rsidTr="001F3369">
        <w:trPr>
          <w:tblCellSpacing w:w="15" w:type="dxa"/>
        </w:trPr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3488A" w14:textId="77777777" w:rsidR="00467500" w:rsidRPr="004A63E5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A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2C794" w14:textId="77777777" w:rsidR="00467500" w:rsidRPr="004A63E5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A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B61DB" w14:textId="62B94F2F" w:rsidR="00CF4414" w:rsidRDefault="00CF4414" w:rsidP="003827F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Lai nodrošinātu, ka kārtība, kādā Konkurences padome nosaka naudas sodus</w:t>
            </w:r>
            <w:r w:rsidR="000679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ir pieejama vienuviet, kārtība, kādā Konkurences padome piemēro naudas sodu par KL 14.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panta</w:t>
            </w:r>
            <w:r w:rsidRPr="002F51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pārkāpumiem jāiekļauj vienā normatīv</w:t>
            </w:r>
            <w:r w:rsidR="00F52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ajā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aktā kopā ar kārtību, kādā Konkurences padome piemēro naudas sodu par</w:t>
            </w:r>
            <w:r w:rsidR="00F52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citiem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52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KL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pārkāpumiem.</w:t>
            </w:r>
            <w:r w:rsidR="00F52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Proti, būtu </w:t>
            </w:r>
            <w:r w:rsidR="000679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202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679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jānosaka papildus regulējums </w:t>
            </w:r>
            <w:r w:rsidR="00F52230" w:rsidRPr="00F52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2016.gada 29.marta noteikum</w:t>
            </w:r>
            <w:r w:rsidR="00F52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F52230" w:rsidRPr="00F52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Nr. 179 “ Kārtība, kādā nosakāms naudas sods par Konkurences likuma 11.panta pirmajā daļā un 13.pantā un Negodīgas mazumtirdzniecības prakses aizlieguma likumā 5., 6., 7. un 8.pantā paredzētajiem pārkāpumiem</w:t>
            </w:r>
            <w:r w:rsidR="00F52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  <w:r w:rsidR="00222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(turpmāk – </w:t>
            </w:r>
            <w:r w:rsidR="004D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</w:t>
            </w:r>
            <w:r w:rsidR="00222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oteikumi)</w:t>
            </w:r>
            <w:r w:rsidR="00F52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nevis </w:t>
            </w:r>
            <w:r w:rsidR="000679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jāizdod </w:t>
            </w:r>
            <w:r w:rsidR="00F52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jaun</w:t>
            </w:r>
            <w:r w:rsidR="000679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Ministru kabineta noteikumi</w:t>
            </w:r>
            <w:r w:rsidR="00F52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00FD76F" w14:textId="742A39FD" w:rsidR="00CE0DF2" w:rsidRPr="004D326F" w:rsidRDefault="00E42205" w:rsidP="00CE0DF2">
            <w:pPr>
              <w:pStyle w:val="naiskr"/>
              <w:spacing w:before="0" w:after="80"/>
              <w:ind w:left="57" w:right="57"/>
              <w:jc w:val="both"/>
              <w:rPr>
                <w:iCs/>
              </w:rPr>
            </w:pPr>
            <w:r>
              <w:rPr>
                <w:bCs/>
                <w:iCs/>
              </w:rPr>
              <w:t xml:space="preserve">Lai nodrošinātu vienotu pieeju un praksi attiecībā uz tirgus dalībniekiem piemērojamajiem sodiem par KL pārkāpumiem, attiecībā uz tirgus dalībniekiem, kas </w:t>
            </w:r>
            <w:r>
              <w:rPr>
                <w:bCs/>
                <w:iCs/>
              </w:rPr>
              <w:lastRenderedPageBreak/>
              <w:t>pārkāpuši KL 14.</w:t>
            </w:r>
            <w:r>
              <w:rPr>
                <w:bCs/>
                <w:iCs/>
                <w:vertAlign w:val="superscript"/>
              </w:rPr>
              <w:t>1</w:t>
            </w:r>
            <w:r>
              <w:rPr>
                <w:bCs/>
                <w:iCs/>
              </w:rPr>
              <w:t xml:space="preserve"> pantu</w:t>
            </w:r>
            <w:r w:rsidR="0061774A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paredzēts piemērot </w:t>
            </w:r>
            <w:r w:rsidR="004D326F">
              <w:rPr>
                <w:bCs/>
                <w:iCs/>
              </w:rPr>
              <w:t>N</w:t>
            </w:r>
            <w:r>
              <w:rPr>
                <w:bCs/>
                <w:iCs/>
              </w:rPr>
              <w:t xml:space="preserve">oteikumos paredzētos </w:t>
            </w:r>
            <w:r w:rsidR="0099120D">
              <w:rPr>
                <w:bCs/>
                <w:iCs/>
              </w:rPr>
              <w:t xml:space="preserve">vispārējos </w:t>
            </w:r>
            <w:r>
              <w:rPr>
                <w:bCs/>
                <w:iCs/>
              </w:rPr>
              <w:t>principus</w:t>
            </w:r>
            <w:r w:rsidRPr="004D326F">
              <w:rPr>
                <w:bCs/>
                <w:iCs/>
              </w:rPr>
              <w:t xml:space="preserve">. </w:t>
            </w:r>
            <w:r w:rsidR="0061774A" w:rsidRPr="004D326F">
              <w:rPr>
                <w:bCs/>
                <w:iCs/>
              </w:rPr>
              <w:t xml:space="preserve">Proti, </w:t>
            </w:r>
            <w:r w:rsidR="0099120D">
              <w:rPr>
                <w:iCs/>
              </w:rPr>
              <w:t>p</w:t>
            </w:r>
            <w:r w:rsidR="0061774A" w:rsidRPr="004D326F">
              <w:rPr>
                <w:iCs/>
              </w:rPr>
              <w:t>ar KL 14.</w:t>
            </w:r>
            <w:r w:rsidR="0061774A" w:rsidRPr="004D326F">
              <w:rPr>
                <w:iCs/>
                <w:vertAlign w:val="superscript"/>
              </w:rPr>
              <w:t>1</w:t>
            </w:r>
            <w:r w:rsidR="0061774A" w:rsidRPr="004D326F">
              <w:rPr>
                <w:iCs/>
              </w:rPr>
              <w:t xml:space="preserve"> noteikto pārkāpumu izdarīšanu piemēro</w:t>
            </w:r>
            <w:r w:rsidR="0099120D">
              <w:rPr>
                <w:iCs/>
              </w:rPr>
              <w:t>jamie</w:t>
            </w:r>
            <w:r w:rsidR="0061774A" w:rsidRPr="004D326F">
              <w:rPr>
                <w:iCs/>
              </w:rPr>
              <w:t xml:space="preserve"> naudas sodi tiks aprēķināti no pēdējā pārskata gada neto apgrozījuma</w:t>
            </w:r>
            <w:r w:rsidR="0099120D">
              <w:rPr>
                <w:iCs/>
              </w:rPr>
              <w:t>.</w:t>
            </w:r>
            <w:r w:rsidR="00CE0DF2" w:rsidRPr="004D326F">
              <w:rPr>
                <w:iCs/>
              </w:rPr>
              <w:t xml:space="preserve"> </w:t>
            </w:r>
            <w:r w:rsidR="0099120D">
              <w:rPr>
                <w:iCs/>
              </w:rPr>
              <w:t>N</w:t>
            </w:r>
            <w:r w:rsidR="00CE0DF2" w:rsidRPr="004D326F">
              <w:rPr>
                <w:iCs/>
              </w:rPr>
              <w:t xml:space="preserve">oteikumi paredz gradāciju  naudas soda noteikšanai pēc pārkāpuma smaguma un tiks ņemts vērā arī pārkāpuma ilgums. </w:t>
            </w:r>
          </w:p>
          <w:p w14:paraId="340B95C4" w14:textId="4091D49D" w:rsidR="00E42205" w:rsidRPr="000F46DF" w:rsidRDefault="00CE0DF2" w:rsidP="00976D69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>Lai tiktu piemērota vienota pieeja attiecībā uz KL pārkāpumu sodu politiku, un ievērojot to, ka KL atkarībā no pārkāpuma veida</w:t>
            </w:r>
            <w:r w:rsidR="004F7A20">
              <w:rPr>
                <w:rFonts w:ascii="Times New Roman" w:hAnsi="Times New Roman" w:cs="Times New Roman"/>
                <w:iCs/>
                <w:sz w:val="24"/>
                <w:szCs w:val="24"/>
              </w:rPr>
              <w:t>, piemērojamā naudas soda minimālā un maksimālā sliekšņa,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C6750">
              <w:rPr>
                <w:rFonts w:ascii="Times New Roman" w:hAnsi="Times New Roman" w:cs="Times New Roman"/>
                <w:iCs/>
                <w:sz w:val="24"/>
                <w:szCs w:val="24"/>
              </w:rPr>
              <w:t>pārkāpumi tiek iedalīti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963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vieglos, smagos un sevišķi smagos, </w:t>
            </w:r>
            <w:r w:rsidR="004F7A20" w:rsidRPr="00963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un </w:t>
            </w:r>
            <w:r w:rsidR="000C75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ievērojot </w:t>
            </w:r>
            <w:r w:rsidR="004F7A20" w:rsidRPr="00963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to, ka </w:t>
            </w:r>
            <w:r w:rsidRPr="009633CE">
              <w:rPr>
                <w:rFonts w:ascii="Times New Roman" w:hAnsi="Times New Roman" w:cs="Times New Roman"/>
                <w:iCs/>
                <w:sz w:val="24"/>
                <w:szCs w:val="24"/>
              </w:rPr>
              <w:t>par KL 14.</w:t>
            </w:r>
            <w:r w:rsidRPr="009633CE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Pr="00963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panta pārkāpumu piemērojams naudas sods līdz trīs procentiem no tirgus dalībnieka pēdējā gada finanšu neto apgrozījuma - pēc pārkāpuma veida brīvas un godīgas konkurences noteikumu pārkāpums (KL 14.</w:t>
            </w:r>
            <w:r w:rsidRPr="009633CE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Pr="00963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pants) kvalificējams kā viegls pārkāpums. </w:t>
            </w:r>
            <w:r w:rsidR="00426F74" w:rsidRPr="009633CE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9633CE">
              <w:rPr>
                <w:rFonts w:ascii="Times New Roman" w:hAnsi="Times New Roman" w:cs="Times New Roman"/>
                <w:iCs/>
                <w:sz w:val="24"/>
                <w:szCs w:val="24"/>
              </w:rPr>
              <w:t>ārkāpuma</w:t>
            </w:r>
            <w:r w:rsidRPr="006A23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ilgum</w:t>
            </w:r>
            <w:r w:rsidR="00426F74" w:rsidRPr="006A233F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426F74" w:rsidRPr="000F5A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26F74"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>gradācija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(nepārsniedz gadu, ilgst vairāk par gadu vai ilgst vairāk par pieciem gadiem)</w:t>
            </w:r>
            <w:r w:rsidR="00426F74"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>, aprēķinot naudas soda apmēru</w:t>
            </w:r>
            <w:r w:rsidR="00502F5E"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ir noteikta, ievērojot 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>vispārēj</w:t>
            </w:r>
            <w:r w:rsidR="00502F5E"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>os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soda noteikšanas princip</w:t>
            </w:r>
            <w:r w:rsidR="00502F5E"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>us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D326F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="004D326F" w:rsidRPr="00E73613">
              <w:rPr>
                <w:rFonts w:ascii="Times New Roman" w:hAnsi="Times New Roman" w:cs="Times New Roman"/>
                <w:iCs/>
                <w:sz w:val="24"/>
                <w:szCs w:val="24"/>
              </w:rPr>
              <w:t>oteikumos</w:t>
            </w:r>
            <w:r w:rsidR="004D326F" w:rsidRPr="004D32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>par KL pārkāpumu un neparedz atšķirīgu attieksmi.</w:t>
            </w:r>
          </w:p>
          <w:p w14:paraId="0ED7BA4B" w14:textId="7B339FBF" w:rsidR="00A17ABE" w:rsidRPr="00EA0DA1" w:rsidRDefault="004D326F" w:rsidP="00CF4414">
            <w:pPr>
              <w:pStyle w:val="naiskr"/>
              <w:spacing w:before="0" w:after="80"/>
              <w:ind w:left="57" w:right="57"/>
              <w:jc w:val="both"/>
              <w:rPr>
                <w:iCs/>
                <w:color w:val="000000" w:themeColor="text1"/>
              </w:rPr>
            </w:pPr>
            <w:r w:rsidRPr="000F46DF">
              <w:rPr>
                <w:iCs/>
              </w:rPr>
              <w:t xml:space="preserve">Noteikumu </w:t>
            </w:r>
            <w:r w:rsidRPr="00EA0DA1">
              <w:rPr>
                <w:iCs/>
                <w:color w:val="000000" w:themeColor="text1"/>
              </w:rPr>
              <w:t xml:space="preserve">projektā paredzēts svītrot Noteikumu 4.punktu, kas nosaka </w:t>
            </w:r>
            <w:r w:rsidR="004D1185" w:rsidRPr="00EA0DA1">
              <w:rPr>
                <w:iCs/>
                <w:color w:val="000000" w:themeColor="text1"/>
              </w:rPr>
              <w:t>saimnieciskās darbības finansiālos rādītājus naudas soda noteikšanai</w:t>
            </w:r>
            <w:r w:rsidR="00527534" w:rsidRPr="00EA0DA1">
              <w:rPr>
                <w:iCs/>
                <w:color w:val="000000" w:themeColor="text1"/>
              </w:rPr>
              <w:t xml:space="preserve">, lai tādējādi novērstu situāciju, </w:t>
            </w:r>
            <w:r w:rsidR="000C75F3" w:rsidRPr="00EA0DA1">
              <w:rPr>
                <w:iCs/>
                <w:color w:val="000000" w:themeColor="text1"/>
              </w:rPr>
              <w:t>k</w:t>
            </w:r>
            <w:r w:rsidR="000F3FA6" w:rsidRPr="00EA0DA1">
              <w:rPr>
                <w:iCs/>
                <w:color w:val="000000" w:themeColor="text1"/>
              </w:rPr>
              <w:t xml:space="preserve">ur finansiālie rādītāji naudas soda noteikšanai vienlaikus tiek reglamentēti gan likumā (KL 12.panta otrā un trešā daļa, KL 14.panta otrā daļa), gan arī </w:t>
            </w:r>
            <w:r w:rsidR="00A17ABE" w:rsidRPr="00EA0DA1">
              <w:rPr>
                <w:iCs/>
                <w:color w:val="000000" w:themeColor="text1"/>
              </w:rPr>
              <w:t>N</w:t>
            </w:r>
            <w:r w:rsidR="000F3FA6" w:rsidRPr="00EA0DA1">
              <w:rPr>
                <w:iCs/>
                <w:color w:val="000000" w:themeColor="text1"/>
              </w:rPr>
              <w:t xml:space="preserve">oteikumos. </w:t>
            </w:r>
          </w:p>
          <w:p w14:paraId="701F60CE" w14:textId="3CFBA383" w:rsidR="00A17ABE" w:rsidRPr="00EA0DA1" w:rsidRDefault="000F3FA6" w:rsidP="00CF4414">
            <w:pPr>
              <w:pStyle w:val="naiskr"/>
              <w:spacing w:before="0" w:after="80"/>
              <w:ind w:left="57" w:right="57"/>
              <w:jc w:val="both"/>
              <w:rPr>
                <w:color w:val="000000" w:themeColor="text1"/>
              </w:rPr>
            </w:pPr>
            <w:r w:rsidRPr="00EA0DA1">
              <w:rPr>
                <w:iCs/>
                <w:color w:val="000000" w:themeColor="text1"/>
              </w:rPr>
              <w:t xml:space="preserve">Turklāt norādāms, ka </w:t>
            </w:r>
            <w:r w:rsidR="00A17ABE" w:rsidRPr="00EA0DA1">
              <w:rPr>
                <w:iCs/>
                <w:color w:val="000000" w:themeColor="text1"/>
              </w:rPr>
              <w:t>no 2020.gada 1.janvārā spēkā stāsies KL 1</w:t>
            </w:r>
            <w:r w:rsidR="00A17ABE" w:rsidRPr="00EA0DA1">
              <w:rPr>
                <w:color w:val="000000" w:themeColor="text1"/>
              </w:rPr>
              <w:t>4.</w:t>
            </w:r>
            <w:r w:rsidR="00A17ABE" w:rsidRPr="00EA0DA1">
              <w:rPr>
                <w:color w:val="000000" w:themeColor="text1"/>
                <w:vertAlign w:val="superscript"/>
              </w:rPr>
              <w:t>2</w:t>
            </w:r>
            <w:r w:rsidR="00A17ABE" w:rsidRPr="00EA0DA1">
              <w:rPr>
                <w:color w:val="000000" w:themeColor="text1"/>
              </w:rPr>
              <w:t xml:space="preserve"> pants, kurā arī likuma līmenī (šā panta trešajā daļā) ir noteikti </w:t>
            </w:r>
            <w:r w:rsidR="00A17ABE" w:rsidRPr="00EA0DA1">
              <w:rPr>
                <w:iCs/>
                <w:color w:val="000000" w:themeColor="text1"/>
              </w:rPr>
              <w:t xml:space="preserve">finansiālie rādītāji naudas soda </w:t>
            </w:r>
            <w:r w:rsidR="00150A8C" w:rsidRPr="00EA0DA1">
              <w:rPr>
                <w:iCs/>
                <w:color w:val="000000" w:themeColor="text1"/>
              </w:rPr>
              <w:t>aprēķināšanai</w:t>
            </w:r>
            <w:r w:rsidR="00A17ABE" w:rsidRPr="00EA0DA1">
              <w:rPr>
                <w:iCs/>
                <w:color w:val="000000" w:themeColor="text1"/>
              </w:rPr>
              <w:t xml:space="preserve"> par KL</w:t>
            </w:r>
            <w:r w:rsidR="00E316A8" w:rsidRPr="00EA0DA1">
              <w:rPr>
                <w:iCs/>
                <w:color w:val="000000" w:themeColor="text1"/>
              </w:rPr>
              <w:t xml:space="preserve"> 1</w:t>
            </w:r>
            <w:r w:rsidR="00E316A8" w:rsidRPr="00EA0DA1">
              <w:rPr>
                <w:color w:val="000000" w:themeColor="text1"/>
              </w:rPr>
              <w:t>4.</w:t>
            </w:r>
            <w:r w:rsidR="00E316A8" w:rsidRPr="00EA0DA1">
              <w:rPr>
                <w:color w:val="000000" w:themeColor="text1"/>
                <w:vertAlign w:val="superscript"/>
              </w:rPr>
              <w:t>1</w:t>
            </w:r>
            <w:r w:rsidR="00E316A8" w:rsidRPr="00EA0DA1">
              <w:rPr>
                <w:color w:val="000000" w:themeColor="text1"/>
              </w:rPr>
              <w:t xml:space="preserve"> panta</w:t>
            </w:r>
            <w:r w:rsidR="00A17ABE" w:rsidRPr="00EA0DA1">
              <w:rPr>
                <w:color w:val="000000" w:themeColor="text1"/>
              </w:rPr>
              <w:t xml:space="preserve"> </w:t>
            </w:r>
            <w:r w:rsidR="00A17ABE" w:rsidRPr="00EA0DA1">
              <w:rPr>
                <w:iCs/>
                <w:color w:val="000000" w:themeColor="text1"/>
              </w:rPr>
              <w:t>pirmajā daļā minēto pārkāpumu.</w:t>
            </w:r>
          </w:p>
          <w:p w14:paraId="1BAF2C8B" w14:textId="4A3ED064" w:rsidR="00E42205" w:rsidRPr="00803822" w:rsidRDefault="00A17ABE" w:rsidP="00E316A8">
            <w:pPr>
              <w:pStyle w:val="naiskr"/>
              <w:spacing w:before="0" w:after="80"/>
              <w:ind w:left="57" w:right="57"/>
              <w:jc w:val="both"/>
              <w:rPr>
                <w:iCs/>
              </w:rPr>
            </w:pPr>
            <w:r w:rsidRPr="00EA0DA1">
              <w:rPr>
                <w:iCs/>
                <w:color w:val="000000" w:themeColor="text1"/>
              </w:rPr>
              <w:t xml:space="preserve">Attiecīgi ir pamats uzskatīt, ka vienotas pieejas nodrošināšanai </w:t>
            </w:r>
            <w:r w:rsidR="007C346C" w:rsidRPr="00EA0DA1">
              <w:rPr>
                <w:iCs/>
                <w:color w:val="000000" w:themeColor="text1"/>
              </w:rPr>
              <w:t>finansiāl</w:t>
            </w:r>
            <w:r w:rsidR="00150A8C" w:rsidRPr="00EA0DA1">
              <w:rPr>
                <w:iCs/>
                <w:color w:val="000000" w:themeColor="text1"/>
              </w:rPr>
              <w:t>ie</w:t>
            </w:r>
            <w:r w:rsidR="007C346C" w:rsidRPr="00EA0DA1">
              <w:rPr>
                <w:iCs/>
                <w:color w:val="000000" w:themeColor="text1"/>
              </w:rPr>
              <w:t xml:space="preserve"> rādītāji naudas soda </w:t>
            </w:r>
            <w:r w:rsidR="00150A8C" w:rsidRPr="00EA0DA1">
              <w:rPr>
                <w:iCs/>
                <w:color w:val="000000" w:themeColor="text1"/>
              </w:rPr>
              <w:t>aprēķināšanai</w:t>
            </w:r>
            <w:r w:rsidR="007C346C" w:rsidRPr="00EA0DA1">
              <w:rPr>
                <w:iCs/>
                <w:color w:val="000000" w:themeColor="text1"/>
              </w:rPr>
              <w:t xml:space="preserve"> turpmāk būtu nosakāmi tikai vienā – juridiski augstāka spēka (likuma) normatīvajā aktā. Norādāms, ka līdzīga pieeja jau tiek īstenota attiecībā uz </w:t>
            </w:r>
            <w:r w:rsidR="00EA0DA1">
              <w:rPr>
                <w:iCs/>
                <w:color w:val="000000" w:themeColor="text1"/>
              </w:rPr>
              <w:t xml:space="preserve">finansiālajiem rādītājiem </w:t>
            </w:r>
            <w:r w:rsidR="007C346C" w:rsidRPr="00EA0DA1">
              <w:rPr>
                <w:iCs/>
                <w:color w:val="000000" w:themeColor="text1"/>
              </w:rPr>
              <w:t xml:space="preserve">naudas soda </w:t>
            </w:r>
            <w:r w:rsidR="00EA0DA1">
              <w:rPr>
                <w:iCs/>
                <w:color w:val="000000" w:themeColor="text1"/>
              </w:rPr>
              <w:t>aprēķināšanai</w:t>
            </w:r>
            <w:r w:rsidR="007C346C" w:rsidRPr="00EA0DA1">
              <w:rPr>
                <w:iCs/>
                <w:color w:val="000000" w:themeColor="text1"/>
              </w:rPr>
              <w:t xml:space="preserve"> par Negodīgas mazumtirdzniecības prakses aizlieguma likum</w:t>
            </w:r>
            <w:r w:rsidR="00E316A8" w:rsidRPr="00EA0DA1">
              <w:rPr>
                <w:iCs/>
                <w:color w:val="000000" w:themeColor="text1"/>
              </w:rPr>
              <w:t xml:space="preserve">a pārkāpumiem, kur tie ir atrunāti tikai </w:t>
            </w:r>
            <w:r w:rsidR="00EA0DA1">
              <w:rPr>
                <w:iCs/>
                <w:color w:val="000000" w:themeColor="text1"/>
              </w:rPr>
              <w:t>šā</w:t>
            </w:r>
            <w:r w:rsidR="00E316A8" w:rsidRPr="00EA0DA1">
              <w:rPr>
                <w:iCs/>
                <w:color w:val="000000" w:themeColor="text1"/>
              </w:rPr>
              <w:t xml:space="preserve"> likuma 9.pantā un Noteikumos netiek pieminēti.</w:t>
            </w:r>
            <w:r w:rsidR="007C346C" w:rsidRPr="00EA0DA1">
              <w:rPr>
                <w:iCs/>
                <w:color w:val="000000" w:themeColor="text1"/>
              </w:rPr>
              <w:t xml:space="preserve"> </w:t>
            </w:r>
          </w:p>
        </w:tc>
      </w:tr>
      <w:tr w:rsidR="00CF4414" w:rsidRPr="00CF4414" w14:paraId="14C27E08" w14:textId="77777777" w:rsidTr="001F3369">
        <w:trPr>
          <w:tblCellSpacing w:w="15" w:type="dxa"/>
        </w:trPr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3B71D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4C9A0" w14:textId="77777777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Projekta izstrādē iesaistītās institūcijas un </w:t>
            </w: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publiskas personas kapitālsabiedrības</w:t>
            </w:r>
          </w:p>
        </w:tc>
        <w:tc>
          <w:tcPr>
            <w:tcW w:w="3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7BCCA" w14:textId="774FA0F0" w:rsidR="00467500" w:rsidRPr="00CF4414" w:rsidRDefault="00DE749B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Konkurences padome</w:t>
            </w:r>
          </w:p>
        </w:tc>
      </w:tr>
      <w:tr w:rsidR="00CF4414" w:rsidRPr="00CF4414" w14:paraId="2784F0DA" w14:textId="77777777" w:rsidTr="001F3369">
        <w:trPr>
          <w:tblCellSpacing w:w="15" w:type="dxa"/>
        </w:trPr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9BAEC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4A42F" w14:textId="77777777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B7E9B" w14:textId="3A27DF7D" w:rsidR="00467500" w:rsidRPr="00CF4414" w:rsidRDefault="00DE749B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3218AE4B" w14:textId="77777777" w:rsidR="00467500" w:rsidRPr="00CF4414" w:rsidRDefault="00467500" w:rsidP="00467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CF4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2808"/>
        <w:gridCol w:w="4947"/>
      </w:tblGrid>
      <w:tr w:rsidR="00CF4414" w:rsidRPr="00CF4414" w14:paraId="62D81BC7" w14:textId="77777777" w:rsidTr="004675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33794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F4414" w:rsidRPr="00CF4414" w14:paraId="1B01C86E" w14:textId="77777777" w:rsidTr="00467500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E9A9B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DE2B5" w14:textId="1C6A0373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mēr</w:t>
            </w:r>
            <w:r w:rsidR="005D007F"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ķ</w:t>
            </w: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F0EA6" w14:textId="69D4CB2C" w:rsidR="00467500" w:rsidRPr="004B7D5C" w:rsidRDefault="00DE749B" w:rsidP="006177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F441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Noteikumu projektā ietvertās normas attiecas uz </w:t>
            </w:r>
            <w:r w:rsidR="00BF0C73" w:rsidRPr="004B7D5C">
              <w:rPr>
                <w:rFonts w:ascii="Times New Roman" w:hAnsi="Times New Roman" w:cs="Times New Roman"/>
                <w:sz w:val="24"/>
                <w:szCs w:val="24"/>
              </w:rPr>
              <w:t xml:space="preserve">kapitālsabiedrībām, kurās publiskai personai ir izšķiroša ietekme, par KL </w:t>
            </w:r>
            <w:hyperlink r:id="rId6" w:anchor="p14.1" w:history="1">
              <w:r w:rsidR="00BF0C73" w:rsidRPr="004B7D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14.</w:t>
              </w:r>
              <w:r w:rsidR="00BF0C73" w:rsidRPr="004B7D5C">
                <w:rPr>
                  <w:rStyle w:val="Hyperlink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="00BF0C73" w:rsidRPr="004B7D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panta</w:t>
              </w:r>
            </w:hyperlink>
            <w:r w:rsidR="00BF0C73" w:rsidRPr="004B7D5C">
              <w:rPr>
                <w:rFonts w:ascii="Times New Roman" w:hAnsi="Times New Roman" w:cs="Times New Roman"/>
                <w:sz w:val="24"/>
                <w:szCs w:val="24"/>
              </w:rPr>
              <w:t xml:space="preserve"> pirmajā daļā minēto pārkāpumu.</w:t>
            </w:r>
          </w:p>
        </w:tc>
      </w:tr>
      <w:tr w:rsidR="00CF4414" w:rsidRPr="00CF4414" w14:paraId="4BF778E6" w14:textId="77777777" w:rsidTr="00467500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2DA6F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2B031" w14:textId="77777777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DEF70" w14:textId="43DD2593" w:rsidR="00BF0C73" w:rsidRPr="00FF01F5" w:rsidRDefault="00BF0C73" w:rsidP="00BF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F0C7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Tiesiskais regulējums</w:t>
            </w:r>
            <w:r w:rsid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tiešā veidā nerada papildu </w:t>
            </w:r>
            <w:r w:rsidR="00FF01F5" w:rsidRP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slogu komersantiem. Vienlaikus tajā ir</w:t>
            </w:r>
            <w:r w:rsidRP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</w:t>
            </w:r>
            <w:r w:rsidR="00FF01F5" w:rsidRP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teikta</w:t>
            </w:r>
            <w:r w:rsidRP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naudas soda noteikšanas kārtīb</w:t>
            </w:r>
            <w:r w:rsid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par </w:t>
            </w:r>
            <w:r w:rsidR="00FF01F5" w:rsidRP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KL </w:t>
            </w:r>
            <w:r w:rsidRPr="00FF01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14.</w:t>
            </w:r>
            <w:r w:rsidRPr="00FF01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F01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panta</w:t>
            </w:r>
            <w:r w:rsidRPr="00402F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(pienākums nodrošināt brīvu un godīgu konkurenci) pārkāpumu.</w:t>
            </w:r>
            <w:r w:rsidRPr="00402F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FF01F5" w:rsidRPr="00402F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Proti, </w:t>
            </w:r>
            <w:r w:rsidR="00FF01F5" w:rsidRP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Konkurences padomei būs tiesības </w:t>
            </w:r>
            <w:r w:rsidR="00FF01F5" w:rsidRPr="00FF01F5">
              <w:rPr>
                <w:rFonts w:ascii="Times New Roman" w:hAnsi="Times New Roman" w:cs="Times New Roman"/>
                <w:sz w:val="24"/>
                <w:szCs w:val="24"/>
              </w:rPr>
              <w:t xml:space="preserve">kapitālsabiedrībām, kurās publiskai personai ir izšķiroša ietekme, piemērot naudas sodu par KL </w:t>
            </w:r>
            <w:hyperlink r:id="rId7" w:anchor="p14.1" w:history="1">
              <w:r w:rsidR="00FF01F5" w:rsidRPr="00FF01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14.</w:t>
              </w:r>
              <w:r w:rsidR="00FF01F5" w:rsidRPr="00FF01F5">
                <w:rPr>
                  <w:rStyle w:val="Hyperlink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="00FF01F5" w:rsidRPr="00FF01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panta</w:t>
              </w:r>
            </w:hyperlink>
            <w:r w:rsidR="00FF01F5" w:rsidRPr="00FF01F5">
              <w:rPr>
                <w:rFonts w:ascii="Times New Roman" w:hAnsi="Times New Roman" w:cs="Times New Roman"/>
                <w:sz w:val="24"/>
                <w:szCs w:val="24"/>
              </w:rPr>
              <w:t xml:space="preserve"> pirmajā daļā minēto pārkāpumu</w:t>
            </w:r>
            <w:r w:rsidR="00FF01F5" w:rsidRPr="00FF0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F01F5" w:rsidRPr="00FF01F5">
              <w:rPr>
                <w:rFonts w:ascii="Times New Roman" w:hAnsi="Times New Roman" w:cs="Times New Roman"/>
                <w:sz w:val="24"/>
                <w:szCs w:val="24"/>
              </w:rPr>
              <w:t>atbilstoši šajos noteikumos noteiktajai kārtībai.</w:t>
            </w:r>
          </w:p>
        </w:tc>
      </w:tr>
      <w:tr w:rsidR="00CF4414" w:rsidRPr="00CF4414" w14:paraId="7C502E41" w14:textId="77777777" w:rsidTr="00467500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5E7E4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E1BF3" w14:textId="77777777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31882" w14:textId="10200278" w:rsidR="00467500" w:rsidRPr="00CF4414" w:rsidRDefault="005D007F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  <w:tr w:rsidR="00CF4414" w:rsidRPr="00CF4414" w14:paraId="02C48B7E" w14:textId="77777777" w:rsidTr="00467500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B7DB5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25999" w14:textId="77777777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44268" w14:textId="168613A3" w:rsidR="00467500" w:rsidRPr="00CF4414" w:rsidRDefault="00DE749B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  <w:tr w:rsidR="00CF4414" w:rsidRPr="00CF4414" w14:paraId="0F488DCC" w14:textId="77777777" w:rsidTr="00467500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8100E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CB42B" w14:textId="77777777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8A041" w14:textId="3E79902D" w:rsidR="00467500" w:rsidRPr="00CF4414" w:rsidRDefault="00DE749B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76442A95" w14:textId="268F9A74" w:rsidR="00467500" w:rsidRPr="00CF4414" w:rsidRDefault="00467500" w:rsidP="00467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CF4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  </w:t>
      </w:r>
    </w:p>
    <w:p w14:paraId="060E24AE" w14:textId="776F7270" w:rsidR="00467500" w:rsidRDefault="00467500" w:rsidP="00467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CF4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4978" w:type="pct"/>
        <w:tblCellSpacing w:w="15" w:type="dxa"/>
        <w:tblInd w:w="-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54"/>
      </w:tblGrid>
      <w:tr w:rsidR="00ED6D27" w:rsidRPr="00D01A69" w14:paraId="10436279" w14:textId="77777777" w:rsidTr="00402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02549" w14:textId="77777777" w:rsidR="00ED6D27" w:rsidRPr="00ED6D27" w:rsidRDefault="00ED6D27" w:rsidP="00ED6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D6D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D6D27" w:rsidRPr="00D01A69" w14:paraId="2EABDEE8" w14:textId="77777777" w:rsidTr="00402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86AA" w14:textId="77777777" w:rsidR="00ED6D27" w:rsidRPr="00402FEA" w:rsidRDefault="00ED6D27" w:rsidP="00ED6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02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D6D27" w:rsidRPr="00D01A69" w14:paraId="31B3306D" w14:textId="77777777" w:rsidTr="00402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88"/>
            </w:tblGrid>
            <w:tr w:rsidR="00ED6D27" w:rsidRPr="00D01A69" w14:paraId="7347BC45" w14:textId="77777777" w:rsidTr="005B1F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D7A41" w14:textId="77777777" w:rsidR="00ED6D27" w:rsidRPr="00D01A69" w:rsidRDefault="00ED6D27" w:rsidP="00ED6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14142"/>
                      <w:sz w:val="24"/>
                      <w:szCs w:val="24"/>
                      <w:lang w:eastAsia="lv-LV"/>
                    </w:rPr>
                  </w:pPr>
                  <w:r w:rsidRPr="00D01A6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14142"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ED6D27" w:rsidRPr="00D01A69" w14:paraId="225610F6" w14:textId="77777777" w:rsidTr="005B1F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0E86CC" w14:textId="77777777" w:rsidR="00ED6D27" w:rsidRPr="00D01A69" w:rsidRDefault="00ED6D27" w:rsidP="00ED6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14142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  <w:t>P</w:t>
                  </w:r>
                  <w:r w:rsidRPr="00D01A6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  <w:t>rojekts šo jomu neskar</w:t>
                  </w:r>
                </w:p>
              </w:tc>
            </w:tr>
          </w:tbl>
          <w:p w14:paraId="0B8969F9" w14:textId="77777777" w:rsidR="00ED6D27" w:rsidRPr="00ED6D27" w:rsidRDefault="00ED6D27" w:rsidP="00ED6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ED6D27" w:rsidRPr="00D01A69" w14:paraId="33110512" w14:textId="77777777" w:rsidTr="00402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88"/>
            </w:tblGrid>
            <w:tr w:rsidR="0014643B" w:rsidRPr="00E5323B" w14:paraId="46F197CD" w14:textId="77777777" w:rsidTr="005B1F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50BC6" w14:textId="77777777" w:rsidR="0014643B" w:rsidRPr="009F67F9" w:rsidRDefault="0014643B" w:rsidP="00146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14142"/>
                      <w:sz w:val="24"/>
                      <w:szCs w:val="24"/>
                      <w:lang w:eastAsia="lv-LV"/>
                    </w:rPr>
                  </w:pPr>
                  <w:r w:rsidRPr="009F67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14142"/>
                      <w:sz w:val="24"/>
                      <w:szCs w:val="24"/>
                      <w:lang w:eastAsia="lv-LV"/>
                    </w:rPr>
                    <w:t>V. Tiesību akta projekta atbilstība Latvijas Republikas starptautiskajām saistībām</w:t>
                  </w:r>
                </w:p>
              </w:tc>
            </w:tr>
            <w:tr w:rsidR="0014643B" w:rsidRPr="009E1AA1" w14:paraId="2A534CC8" w14:textId="77777777" w:rsidTr="005B1F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96A64" w14:textId="77777777" w:rsidR="0014643B" w:rsidRPr="009F67F9" w:rsidRDefault="0014643B" w:rsidP="00146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414142"/>
                      <w:sz w:val="24"/>
                      <w:szCs w:val="24"/>
                      <w:lang w:eastAsia="lv-LV"/>
                    </w:rPr>
                  </w:pPr>
                  <w:r w:rsidRPr="009F67F9">
                    <w:rPr>
                      <w:rFonts w:ascii="Times New Roman" w:eastAsia="Times New Roman" w:hAnsi="Times New Roman" w:cs="Times New Roman"/>
                      <w:bCs/>
                      <w:iCs/>
                      <w:color w:val="414142"/>
                      <w:sz w:val="24"/>
                      <w:szCs w:val="24"/>
                      <w:lang w:eastAsia="lv-LV"/>
                    </w:rPr>
                    <w:t>Projekts šo jomu neskar</w:t>
                  </w:r>
                </w:p>
              </w:tc>
            </w:tr>
          </w:tbl>
          <w:p w14:paraId="0C7D040C" w14:textId="77777777" w:rsidR="00ED6D27" w:rsidRPr="00D01A69" w:rsidRDefault="00ED6D27" w:rsidP="00ED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</w:tbl>
    <w:p w14:paraId="26445B5A" w14:textId="055CEDE9" w:rsidR="00402FEA" w:rsidRDefault="00402FEA" w:rsidP="004D0E53">
      <w:pPr>
        <w:pStyle w:val="Heading1"/>
        <w:ind w:right="-666"/>
        <w:jc w:val="both"/>
        <w:rPr>
          <w:sz w:val="24"/>
          <w:szCs w:val="24"/>
        </w:rPr>
      </w:pPr>
    </w:p>
    <w:tbl>
      <w:tblPr>
        <w:tblW w:w="4976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1"/>
        <w:gridCol w:w="2531"/>
        <w:gridCol w:w="5058"/>
      </w:tblGrid>
      <w:tr w:rsidR="00402FEA" w:rsidRPr="00CF4414" w14:paraId="6313ADF4" w14:textId="77777777" w:rsidTr="00402FE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5D9DC" w14:textId="77777777" w:rsidR="00402FEA" w:rsidRPr="00CF4414" w:rsidRDefault="00402FEA" w:rsidP="005B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402FEA" w:rsidRPr="00CF4414" w14:paraId="6CF4FC85" w14:textId="77777777" w:rsidTr="00402FEA">
        <w:trPr>
          <w:tblCellSpacing w:w="15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54C2D" w14:textId="77777777" w:rsidR="00402FEA" w:rsidRPr="00CF4414" w:rsidRDefault="00402FEA" w:rsidP="005B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8085B" w14:textId="77777777" w:rsidR="00402FEA" w:rsidRPr="00CF4414" w:rsidRDefault="00402FEA" w:rsidP="005B1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858E4" w14:textId="49A4DAE7" w:rsidR="00402FEA" w:rsidRPr="00A92165" w:rsidRDefault="00402FEA" w:rsidP="00402FEA">
            <w:pPr>
              <w:pStyle w:val="naiskr"/>
              <w:spacing w:before="60" w:after="60"/>
              <w:ind w:left="57" w:right="57"/>
              <w:jc w:val="both"/>
              <w:rPr>
                <w:iCs/>
              </w:rPr>
            </w:pPr>
            <w:r w:rsidRPr="00A92165">
              <w:rPr>
                <w:rStyle w:val="st1"/>
                <w:bCs/>
              </w:rPr>
              <w:t>S</w:t>
            </w:r>
            <w:r w:rsidRPr="00A92165">
              <w:rPr>
                <w:iCs/>
              </w:rPr>
              <w:t xml:space="preserve">abiedrības līdzdalība </w:t>
            </w:r>
            <w:r>
              <w:rPr>
                <w:iCs/>
              </w:rPr>
              <w:t>noteikumu</w:t>
            </w:r>
            <w:r w:rsidRPr="00A92165">
              <w:rPr>
                <w:iCs/>
              </w:rPr>
              <w:t xml:space="preserve"> izstrādē </w:t>
            </w:r>
            <w:r w:rsidR="004B7D5C">
              <w:rPr>
                <w:iCs/>
              </w:rPr>
              <w:t>tik</w:t>
            </w:r>
            <w:r w:rsidR="003827FE">
              <w:rPr>
                <w:iCs/>
              </w:rPr>
              <w:t>a</w:t>
            </w:r>
            <w:r w:rsidRPr="00A92165">
              <w:rPr>
                <w:iCs/>
              </w:rPr>
              <w:t xml:space="preserve"> nodrošināta, 1) </w:t>
            </w:r>
            <w:r w:rsidR="00E3702C">
              <w:rPr>
                <w:iCs/>
              </w:rPr>
              <w:t>Konkurences padomei informējot</w:t>
            </w:r>
            <w:r w:rsidRPr="00A92165">
              <w:rPr>
                <w:iCs/>
              </w:rPr>
              <w:t xml:space="preserve"> sociāl</w:t>
            </w:r>
            <w:r w:rsidR="00E3702C">
              <w:rPr>
                <w:iCs/>
              </w:rPr>
              <w:t>os</w:t>
            </w:r>
            <w:r w:rsidRPr="00A92165">
              <w:rPr>
                <w:iCs/>
              </w:rPr>
              <w:t xml:space="preserve"> partner</w:t>
            </w:r>
            <w:r w:rsidR="00E3702C">
              <w:rPr>
                <w:iCs/>
              </w:rPr>
              <w:t>us par plānotajiem priekšlikumiem grozījumu veikšanai noteikumos</w:t>
            </w:r>
            <w:r w:rsidRPr="00A92165">
              <w:rPr>
                <w:iCs/>
              </w:rPr>
              <w:t xml:space="preserve">, kā arī 2) publicējot </w:t>
            </w:r>
            <w:r w:rsidR="00B57586">
              <w:rPr>
                <w:iCs/>
              </w:rPr>
              <w:t>noteikumu projektu</w:t>
            </w:r>
            <w:r w:rsidRPr="00A92165">
              <w:rPr>
                <w:iCs/>
              </w:rPr>
              <w:t xml:space="preserve"> Ekonomikas </w:t>
            </w:r>
            <w:r w:rsidRPr="00A92165">
              <w:rPr>
                <w:iCs/>
              </w:rPr>
              <w:lastRenderedPageBreak/>
              <w:t xml:space="preserve">ministrijas mājas lapā </w:t>
            </w:r>
            <w:r>
              <w:rPr>
                <w:iCs/>
              </w:rPr>
              <w:t>divas</w:t>
            </w:r>
            <w:r w:rsidRPr="00A92165">
              <w:rPr>
                <w:iCs/>
              </w:rPr>
              <w:t xml:space="preserve"> nedēļas pirms tā izsludināšanas Valsts sekretāru sanāksmē.</w:t>
            </w:r>
          </w:p>
          <w:p w14:paraId="617552C3" w14:textId="2A08C8FA" w:rsidR="00402FEA" w:rsidRPr="00402FEA" w:rsidRDefault="00402FEA" w:rsidP="0040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02F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Pēc likumprojekta izsludināšanas Valsts sekretāru sanāksmē, turpmākā likumprojekta saskaņošanas gaita </w:t>
            </w:r>
            <w:r w:rsidR="004B7D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tiks </w:t>
            </w:r>
            <w:r w:rsidRPr="00402FEA">
              <w:rPr>
                <w:rFonts w:ascii="Times New Roman" w:hAnsi="Times New Roman" w:cs="Times New Roman"/>
                <w:iCs/>
                <w:sz w:val="24"/>
                <w:szCs w:val="24"/>
              </w:rPr>
              <w:t>nodrošināta Ministru kabineta kārtības rullī noteiktajā kārtībā.</w:t>
            </w:r>
          </w:p>
        </w:tc>
      </w:tr>
      <w:tr w:rsidR="00402FEA" w:rsidRPr="00CF4414" w14:paraId="45127077" w14:textId="77777777" w:rsidTr="003827FE">
        <w:trPr>
          <w:tblCellSpacing w:w="15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79EC" w14:textId="77777777" w:rsidR="00402FEA" w:rsidRPr="00CF4414" w:rsidRDefault="00402FEA" w:rsidP="005B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A1319" w14:textId="77777777" w:rsidR="00402FEA" w:rsidRPr="00CF4414" w:rsidRDefault="00402FEA" w:rsidP="005B1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B810B" w14:textId="3E442C6C" w:rsidR="00402FEA" w:rsidRPr="00CF4414" w:rsidRDefault="00B57586" w:rsidP="004B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C7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Sociāl</w:t>
            </w:r>
            <w:r w:rsidR="00E3702C" w:rsidRPr="000C7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</w:t>
            </w:r>
            <w:r w:rsidRPr="000C7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partner</w:t>
            </w:r>
            <w:r w:rsidR="00E3702C" w:rsidRPr="000C7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0C7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3702C" w:rsidRPr="000C7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pieņēma zināšanai Konkurences padomes </w:t>
            </w:r>
            <w:r w:rsidR="00F94153" w:rsidRPr="000C7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plānotos priekšlikumus</w:t>
            </w:r>
            <w:r w:rsidRPr="000C7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sākotnējā komu</w:t>
            </w:r>
            <w:r w:rsidR="00C4704D" w:rsidRPr="000C7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</w:t>
            </w:r>
            <w:r w:rsidRPr="000C7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ikācijā),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savukārt par Ekonomikas ministrijas mājas lapā publicēto noteikumu projektu divas nedēļas pirms tā izsludināšanas Valsts sekretāru sanāksmē atzinumi netika saņemti.</w:t>
            </w:r>
          </w:p>
        </w:tc>
      </w:tr>
      <w:tr w:rsidR="00402FEA" w:rsidRPr="00CF4414" w14:paraId="460B7E08" w14:textId="77777777" w:rsidTr="00402FEA">
        <w:trPr>
          <w:tblCellSpacing w:w="15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16D87" w14:textId="77777777" w:rsidR="00402FEA" w:rsidRPr="00CF4414" w:rsidRDefault="00402FEA" w:rsidP="005B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3CE40" w14:textId="77777777" w:rsidR="00402FEA" w:rsidRPr="00CF4414" w:rsidRDefault="00402FEA" w:rsidP="005B1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C50FA" w14:textId="52CAE231" w:rsidR="00402FEA" w:rsidRPr="00CF4414" w:rsidRDefault="00BB63D1" w:rsidP="005B1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F67F9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402FEA" w:rsidRPr="00CF4414" w14:paraId="4EB85085" w14:textId="77777777" w:rsidTr="00402FEA">
        <w:trPr>
          <w:tblCellSpacing w:w="15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ED272" w14:textId="77777777" w:rsidR="00402FEA" w:rsidRPr="00CF4414" w:rsidRDefault="00402FEA" w:rsidP="005B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C3B94" w14:textId="77777777" w:rsidR="00402FEA" w:rsidRPr="00CF4414" w:rsidRDefault="00402FEA" w:rsidP="005B1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66047" w14:textId="77777777" w:rsidR="00402FEA" w:rsidRPr="00CF4414" w:rsidRDefault="00402FEA" w:rsidP="005B1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91FBE03" w14:textId="31C96609" w:rsidR="00402FEA" w:rsidRDefault="00402FEA" w:rsidP="00402FEA">
      <w:pPr>
        <w:rPr>
          <w:lang w:eastAsia="lv-LV"/>
        </w:rPr>
      </w:pPr>
      <w:bookmarkStart w:id="2" w:name="_Hlk20920192"/>
    </w:p>
    <w:tbl>
      <w:tblPr>
        <w:tblW w:w="5022" w:type="pct"/>
        <w:tblCellSpacing w:w="15" w:type="dxa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2"/>
        <w:gridCol w:w="3135"/>
        <w:gridCol w:w="4509"/>
      </w:tblGrid>
      <w:tr w:rsidR="009F67F9" w:rsidRPr="009F67F9" w14:paraId="3CB4AFEC" w14:textId="77777777" w:rsidTr="005B1F1D">
        <w:trPr>
          <w:tblCellSpacing w:w="15" w:type="dxa"/>
        </w:trPr>
        <w:tc>
          <w:tcPr>
            <w:tcW w:w="49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2"/>
          <w:p w14:paraId="1ABF6C91" w14:textId="77777777" w:rsidR="00402FEA" w:rsidRPr="009F67F9" w:rsidRDefault="00402FEA" w:rsidP="005B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F67F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9F67F9" w:rsidRPr="009F67F9" w14:paraId="5F0F70B1" w14:textId="77777777" w:rsidTr="005B1F1D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DC1E1" w14:textId="77777777" w:rsidR="00402FEA" w:rsidRPr="009F67F9" w:rsidRDefault="00402FEA" w:rsidP="005B1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9F67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3CA13" w14:textId="77777777" w:rsidR="00402FEA" w:rsidRPr="009F67F9" w:rsidRDefault="00402FEA" w:rsidP="005B1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F67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C2620" w14:textId="77777777" w:rsidR="00402FEA" w:rsidRPr="009F67F9" w:rsidRDefault="00402FEA" w:rsidP="005B1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9F6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izpildi nodrošina Konkurences padome</w:t>
            </w:r>
          </w:p>
        </w:tc>
      </w:tr>
      <w:tr w:rsidR="009F67F9" w:rsidRPr="009F67F9" w14:paraId="50875332" w14:textId="77777777" w:rsidTr="005B1F1D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312AF" w14:textId="77777777" w:rsidR="00402FEA" w:rsidRPr="009F67F9" w:rsidRDefault="00402FEA" w:rsidP="005B1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9F67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0C25A" w14:textId="77777777" w:rsidR="00402FEA" w:rsidRPr="009F67F9" w:rsidRDefault="00402FEA" w:rsidP="005B1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F67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F67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CDD6D" w14:textId="77777777" w:rsidR="00402FEA" w:rsidRPr="009F67F9" w:rsidRDefault="00402FEA" w:rsidP="0040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sv-SE" w:eastAsia="lv-LV"/>
              </w:rPr>
            </w:pPr>
            <w:r w:rsidRPr="009F6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Noteikumu projekta izpilde neietekmē projekta izstrādē iesaistītās institūcijas cilvēkresursus, funkcijas un uzdevumus. Noteikumu projekts neparedz veidot jaunas valsts institūcijas, to likvidāciju vai reorganizāciju, un neparedz jaunas institūciju funkcijas vai uzdevumus.</w:t>
            </w:r>
          </w:p>
        </w:tc>
      </w:tr>
      <w:tr w:rsidR="009F67F9" w:rsidRPr="009F67F9" w14:paraId="482093BF" w14:textId="77777777" w:rsidTr="005B1F1D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F92A2" w14:textId="77777777" w:rsidR="00402FEA" w:rsidRPr="009F67F9" w:rsidRDefault="00402FEA" w:rsidP="005B1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9F67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93928" w14:textId="77777777" w:rsidR="00402FEA" w:rsidRPr="009F67F9" w:rsidRDefault="00402FEA" w:rsidP="005B1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F67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26103" w14:textId="039C607B" w:rsidR="00402FEA" w:rsidRPr="009F67F9" w:rsidRDefault="00402FEA" w:rsidP="005B1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9F6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</w:t>
            </w:r>
          </w:p>
        </w:tc>
      </w:tr>
    </w:tbl>
    <w:p w14:paraId="24D0D031" w14:textId="77777777" w:rsidR="00402FEA" w:rsidRPr="009F67F9" w:rsidRDefault="00402FEA" w:rsidP="00402FEA">
      <w:pPr>
        <w:rPr>
          <w:color w:val="000000" w:themeColor="text1"/>
          <w:lang w:eastAsia="lv-LV"/>
        </w:rPr>
      </w:pPr>
    </w:p>
    <w:p w14:paraId="165C4528" w14:textId="31C96609" w:rsidR="00402FEA" w:rsidRPr="009F67F9" w:rsidRDefault="00402FEA" w:rsidP="00402FEA">
      <w:pPr>
        <w:rPr>
          <w:color w:val="000000" w:themeColor="text1"/>
          <w:lang w:eastAsia="lv-LV"/>
        </w:rPr>
      </w:pPr>
    </w:p>
    <w:p w14:paraId="429C1E19" w14:textId="77777777" w:rsidR="00402FEA" w:rsidRPr="009F67F9" w:rsidRDefault="00402FEA" w:rsidP="004D0E53">
      <w:pPr>
        <w:pStyle w:val="Heading1"/>
        <w:ind w:right="-666"/>
        <w:jc w:val="both"/>
        <w:rPr>
          <w:color w:val="000000" w:themeColor="text1"/>
          <w:sz w:val="24"/>
          <w:szCs w:val="24"/>
        </w:rPr>
      </w:pPr>
    </w:p>
    <w:p w14:paraId="3DB896BB" w14:textId="27715A26" w:rsidR="004D0E53" w:rsidRPr="009F67F9" w:rsidRDefault="004D0E53" w:rsidP="004D0E53">
      <w:pPr>
        <w:pStyle w:val="Heading1"/>
        <w:ind w:right="-666"/>
        <w:jc w:val="both"/>
        <w:rPr>
          <w:color w:val="000000" w:themeColor="text1"/>
          <w:sz w:val="24"/>
          <w:szCs w:val="24"/>
        </w:rPr>
      </w:pPr>
      <w:r w:rsidRPr="009F67F9">
        <w:rPr>
          <w:color w:val="000000" w:themeColor="text1"/>
          <w:sz w:val="24"/>
          <w:szCs w:val="24"/>
        </w:rPr>
        <w:t>Ekonomikas ministrs</w:t>
      </w:r>
      <w:r w:rsidRPr="009F67F9">
        <w:rPr>
          <w:color w:val="000000" w:themeColor="text1"/>
          <w:sz w:val="24"/>
          <w:szCs w:val="24"/>
        </w:rPr>
        <w:tab/>
      </w:r>
      <w:r w:rsidRPr="009F67F9">
        <w:rPr>
          <w:color w:val="000000" w:themeColor="text1"/>
          <w:sz w:val="24"/>
          <w:szCs w:val="24"/>
        </w:rPr>
        <w:tab/>
        <w:t xml:space="preserve">          </w:t>
      </w:r>
      <w:r w:rsidRPr="009F67F9">
        <w:rPr>
          <w:color w:val="000000" w:themeColor="text1"/>
          <w:sz w:val="24"/>
          <w:szCs w:val="24"/>
        </w:rPr>
        <w:tab/>
        <w:t xml:space="preserve">     </w:t>
      </w:r>
      <w:r w:rsidRPr="009F67F9">
        <w:rPr>
          <w:color w:val="000000" w:themeColor="text1"/>
          <w:sz w:val="24"/>
          <w:szCs w:val="24"/>
        </w:rPr>
        <w:tab/>
      </w:r>
      <w:r w:rsidRPr="009F67F9">
        <w:rPr>
          <w:color w:val="000000" w:themeColor="text1"/>
          <w:sz w:val="24"/>
          <w:szCs w:val="24"/>
        </w:rPr>
        <w:tab/>
      </w:r>
      <w:r w:rsidRPr="009F67F9">
        <w:rPr>
          <w:color w:val="000000" w:themeColor="text1"/>
          <w:sz w:val="24"/>
          <w:szCs w:val="24"/>
        </w:rPr>
        <w:tab/>
      </w:r>
      <w:r w:rsidRPr="009F67F9">
        <w:rPr>
          <w:color w:val="000000" w:themeColor="text1"/>
          <w:sz w:val="24"/>
          <w:szCs w:val="24"/>
        </w:rPr>
        <w:tab/>
        <w:t xml:space="preserve">    R. Nemiro</w:t>
      </w:r>
    </w:p>
    <w:p w14:paraId="6D7B5DFF" w14:textId="77777777" w:rsidR="004D0E53" w:rsidRPr="009F67F9" w:rsidRDefault="004D0E53" w:rsidP="004D0E53">
      <w:pPr>
        <w:rPr>
          <w:color w:val="000000" w:themeColor="text1"/>
          <w:lang w:eastAsia="lv-LV"/>
        </w:rPr>
      </w:pPr>
    </w:p>
    <w:p w14:paraId="30D1E637" w14:textId="77777777" w:rsidR="004D0E53" w:rsidRPr="009F67F9" w:rsidRDefault="004D0E53" w:rsidP="004D0E53">
      <w:pPr>
        <w:ind w:right="-66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Vīza:</w:t>
      </w:r>
    </w:p>
    <w:p w14:paraId="7F799914" w14:textId="77777777" w:rsidR="004D0E53" w:rsidRPr="009F67F9" w:rsidRDefault="004D0E53" w:rsidP="004D0E53">
      <w:pPr>
        <w:ind w:right="-66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Valsts sekretārs </w:t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Ē. Eglītis</w:t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    </w:t>
      </w:r>
    </w:p>
    <w:p w14:paraId="76F290F1" w14:textId="77777777" w:rsidR="004D0E53" w:rsidRPr="009F67F9" w:rsidRDefault="004D0E53" w:rsidP="004D0E53">
      <w:pPr>
        <w:pStyle w:val="naisf"/>
        <w:spacing w:before="0" w:after="0"/>
        <w:ind w:firstLine="720"/>
        <w:rPr>
          <w:color w:val="000000" w:themeColor="text1"/>
        </w:rPr>
      </w:pPr>
    </w:p>
    <w:p w14:paraId="52AF7758" w14:textId="6C12857F" w:rsidR="004D0E53" w:rsidRPr="009F67F9" w:rsidRDefault="004D0E53" w:rsidP="004D0E53">
      <w:pPr>
        <w:pStyle w:val="naisf"/>
        <w:tabs>
          <w:tab w:val="left" w:pos="0"/>
        </w:tabs>
        <w:spacing w:before="0" w:after="0"/>
        <w:ind w:firstLine="0"/>
        <w:rPr>
          <w:color w:val="000000" w:themeColor="text1"/>
          <w:sz w:val="20"/>
          <w:szCs w:val="20"/>
        </w:rPr>
      </w:pPr>
      <w:r w:rsidRPr="009F67F9">
        <w:rPr>
          <w:color w:val="000000" w:themeColor="text1"/>
          <w:sz w:val="20"/>
          <w:szCs w:val="20"/>
        </w:rPr>
        <w:t>D.Dzērviniece, 67365225</w:t>
      </w:r>
    </w:p>
    <w:p w14:paraId="3082464F" w14:textId="4E179BE3" w:rsidR="004D0E53" w:rsidRDefault="0095385F" w:rsidP="004D0E53">
      <w:pPr>
        <w:pStyle w:val="naisf"/>
        <w:tabs>
          <w:tab w:val="left" w:pos="0"/>
        </w:tabs>
        <w:spacing w:before="0" w:after="0"/>
        <w:ind w:firstLine="0"/>
        <w:rPr>
          <w:rStyle w:val="Hyperlink"/>
          <w:color w:val="000000" w:themeColor="text1"/>
          <w:sz w:val="20"/>
          <w:szCs w:val="20"/>
        </w:rPr>
      </w:pPr>
      <w:hyperlink r:id="rId8" w:history="1">
        <w:r w:rsidR="004D0E53" w:rsidRPr="009F67F9">
          <w:rPr>
            <w:rStyle w:val="Hyperlink"/>
            <w:color w:val="000000" w:themeColor="text1"/>
            <w:sz w:val="20"/>
            <w:szCs w:val="20"/>
          </w:rPr>
          <w:t>Dita.Dzerviniece@kp.gov.lv</w:t>
        </w:r>
      </w:hyperlink>
    </w:p>
    <w:p w14:paraId="7AC4212A" w14:textId="551A0724" w:rsidR="00527534" w:rsidRDefault="00527534" w:rsidP="004D0E53">
      <w:pPr>
        <w:pStyle w:val="naisf"/>
        <w:tabs>
          <w:tab w:val="left" w:pos="0"/>
        </w:tabs>
        <w:spacing w:before="0" w:after="0"/>
        <w:ind w:firstLine="0"/>
        <w:rPr>
          <w:rStyle w:val="Hyperlink"/>
          <w:color w:val="000000" w:themeColor="text1"/>
          <w:sz w:val="20"/>
          <w:szCs w:val="20"/>
        </w:rPr>
      </w:pPr>
      <w:r>
        <w:rPr>
          <w:rStyle w:val="Hyperlink"/>
          <w:color w:val="000000" w:themeColor="text1"/>
          <w:sz w:val="20"/>
          <w:szCs w:val="20"/>
        </w:rPr>
        <w:t>I.Eglītis, 67013236</w:t>
      </w:r>
    </w:p>
    <w:p w14:paraId="6290C891" w14:textId="301F7596" w:rsidR="00527534" w:rsidRDefault="0095385F" w:rsidP="004D0E53">
      <w:pPr>
        <w:pStyle w:val="naisf"/>
        <w:tabs>
          <w:tab w:val="left" w:pos="0"/>
        </w:tabs>
        <w:spacing w:before="0" w:after="0"/>
        <w:ind w:firstLine="0"/>
        <w:rPr>
          <w:rStyle w:val="Hyperlink"/>
          <w:color w:val="000000" w:themeColor="text1"/>
          <w:sz w:val="20"/>
          <w:szCs w:val="20"/>
        </w:rPr>
      </w:pPr>
      <w:hyperlink r:id="rId9" w:history="1">
        <w:r w:rsidR="00527534" w:rsidRPr="004C43D0">
          <w:rPr>
            <w:rStyle w:val="Hyperlink"/>
            <w:sz w:val="20"/>
            <w:szCs w:val="20"/>
          </w:rPr>
          <w:t>Intars.Eglitis@em.gov.lv</w:t>
        </w:r>
      </w:hyperlink>
    </w:p>
    <w:p w14:paraId="250509F8" w14:textId="77777777" w:rsidR="00527534" w:rsidRPr="009F67F9" w:rsidRDefault="00527534" w:rsidP="004D0E53">
      <w:pPr>
        <w:pStyle w:val="naisf"/>
        <w:tabs>
          <w:tab w:val="left" w:pos="0"/>
        </w:tabs>
        <w:spacing w:before="0" w:after="0"/>
        <w:ind w:firstLine="0"/>
        <w:rPr>
          <w:color w:val="000000" w:themeColor="text1"/>
          <w:sz w:val="20"/>
          <w:szCs w:val="20"/>
        </w:rPr>
      </w:pPr>
    </w:p>
    <w:p w14:paraId="71AA084A" w14:textId="76193FBD" w:rsidR="00467500" w:rsidRPr="009F67F9" w:rsidRDefault="00467500" w:rsidP="00023F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sectPr w:rsidR="00467500" w:rsidRPr="009F67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489D"/>
    <w:multiLevelType w:val="hybridMultilevel"/>
    <w:tmpl w:val="5EFC5316"/>
    <w:lvl w:ilvl="0" w:tplc="CCA092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20F4"/>
    <w:multiLevelType w:val="hybridMultilevel"/>
    <w:tmpl w:val="6094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54B"/>
    <w:multiLevelType w:val="multilevel"/>
    <w:tmpl w:val="792E501C"/>
    <w:lvl w:ilvl="0">
      <w:start w:val="1"/>
      <w:numFmt w:val="decimal"/>
      <w:lvlText w:val="%1"/>
      <w:lvlJc w:val="left"/>
      <w:pPr>
        <w:ind w:left="720" w:hanging="49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7" w:hanging="1800"/>
      </w:pPr>
      <w:rPr>
        <w:rFonts w:hint="default"/>
      </w:rPr>
    </w:lvl>
  </w:abstractNum>
  <w:abstractNum w:abstractNumId="3" w15:restartNumberingAfterBreak="0">
    <w:nsid w:val="23023338"/>
    <w:multiLevelType w:val="hybridMultilevel"/>
    <w:tmpl w:val="AF003176"/>
    <w:lvl w:ilvl="0" w:tplc="EA240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3F1"/>
    <w:multiLevelType w:val="hybridMultilevel"/>
    <w:tmpl w:val="42E47B52"/>
    <w:lvl w:ilvl="0" w:tplc="CCA092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B45F9"/>
    <w:multiLevelType w:val="hybridMultilevel"/>
    <w:tmpl w:val="00E8176A"/>
    <w:lvl w:ilvl="0" w:tplc="CCA092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927FD"/>
    <w:multiLevelType w:val="hybridMultilevel"/>
    <w:tmpl w:val="02968A24"/>
    <w:lvl w:ilvl="0" w:tplc="5AF28E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A2436"/>
    <w:multiLevelType w:val="hybridMultilevel"/>
    <w:tmpl w:val="0130DD5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4743"/>
    <w:multiLevelType w:val="hybridMultilevel"/>
    <w:tmpl w:val="42E47B52"/>
    <w:lvl w:ilvl="0" w:tplc="CCA092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00"/>
    <w:rsid w:val="0000165E"/>
    <w:rsid w:val="0001339D"/>
    <w:rsid w:val="00023F41"/>
    <w:rsid w:val="000414BE"/>
    <w:rsid w:val="0006796D"/>
    <w:rsid w:val="000C408E"/>
    <w:rsid w:val="000C75F3"/>
    <w:rsid w:val="000F3FA6"/>
    <w:rsid w:val="000F46DF"/>
    <w:rsid w:val="000F5A27"/>
    <w:rsid w:val="00127DF4"/>
    <w:rsid w:val="00127F9D"/>
    <w:rsid w:val="00135785"/>
    <w:rsid w:val="0014643B"/>
    <w:rsid w:val="00150A8C"/>
    <w:rsid w:val="00167657"/>
    <w:rsid w:val="00183BF6"/>
    <w:rsid w:val="001C6750"/>
    <w:rsid w:val="001F3369"/>
    <w:rsid w:val="00202B7E"/>
    <w:rsid w:val="00207E77"/>
    <w:rsid w:val="00222330"/>
    <w:rsid w:val="002564BE"/>
    <w:rsid w:val="00261112"/>
    <w:rsid w:val="002967A7"/>
    <w:rsid w:val="002B6B57"/>
    <w:rsid w:val="0037686A"/>
    <w:rsid w:val="003827FE"/>
    <w:rsid w:val="003B2111"/>
    <w:rsid w:val="003D724A"/>
    <w:rsid w:val="00402FEA"/>
    <w:rsid w:val="00426F74"/>
    <w:rsid w:val="00467500"/>
    <w:rsid w:val="004A63E5"/>
    <w:rsid w:val="004A74B9"/>
    <w:rsid w:val="004B7D5C"/>
    <w:rsid w:val="004D0E53"/>
    <w:rsid w:val="004D1185"/>
    <w:rsid w:val="004D326F"/>
    <w:rsid w:val="004F78DC"/>
    <w:rsid w:val="004F7A20"/>
    <w:rsid w:val="00500DA2"/>
    <w:rsid w:val="00502F5E"/>
    <w:rsid w:val="0050417F"/>
    <w:rsid w:val="00527534"/>
    <w:rsid w:val="005B1F1D"/>
    <w:rsid w:val="005D007F"/>
    <w:rsid w:val="0061774A"/>
    <w:rsid w:val="006665AE"/>
    <w:rsid w:val="006A233F"/>
    <w:rsid w:val="006C39F4"/>
    <w:rsid w:val="006D43EA"/>
    <w:rsid w:val="006E2C1A"/>
    <w:rsid w:val="0070566C"/>
    <w:rsid w:val="00754E48"/>
    <w:rsid w:val="007B3451"/>
    <w:rsid w:val="007C346C"/>
    <w:rsid w:val="00803822"/>
    <w:rsid w:val="008B09AC"/>
    <w:rsid w:val="008F218E"/>
    <w:rsid w:val="0091605E"/>
    <w:rsid w:val="0095385F"/>
    <w:rsid w:val="009633CE"/>
    <w:rsid w:val="009739C8"/>
    <w:rsid w:val="00976D69"/>
    <w:rsid w:val="0099120D"/>
    <w:rsid w:val="009B2827"/>
    <w:rsid w:val="009D3FEF"/>
    <w:rsid w:val="009E1603"/>
    <w:rsid w:val="009F67F9"/>
    <w:rsid w:val="00A17ABE"/>
    <w:rsid w:val="00A87FFD"/>
    <w:rsid w:val="00B2198C"/>
    <w:rsid w:val="00B23506"/>
    <w:rsid w:val="00B57586"/>
    <w:rsid w:val="00B73F73"/>
    <w:rsid w:val="00BB63D1"/>
    <w:rsid w:val="00BD0521"/>
    <w:rsid w:val="00BE53B7"/>
    <w:rsid w:val="00BF013B"/>
    <w:rsid w:val="00BF0C73"/>
    <w:rsid w:val="00C4704D"/>
    <w:rsid w:val="00C635A6"/>
    <w:rsid w:val="00C83D9A"/>
    <w:rsid w:val="00CA07FA"/>
    <w:rsid w:val="00CA1E11"/>
    <w:rsid w:val="00CE0DF2"/>
    <w:rsid w:val="00CE33FE"/>
    <w:rsid w:val="00CF420C"/>
    <w:rsid w:val="00CF4414"/>
    <w:rsid w:val="00DA030C"/>
    <w:rsid w:val="00DB071C"/>
    <w:rsid w:val="00DB4BE7"/>
    <w:rsid w:val="00DE749B"/>
    <w:rsid w:val="00E316A8"/>
    <w:rsid w:val="00E3702C"/>
    <w:rsid w:val="00E42205"/>
    <w:rsid w:val="00E838E6"/>
    <w:rsid w:val="00EA0DA1"/>
    <w:rsid w:val="00EC041D"/>
    <w:rsid w:val="00EC0EB0"/>
    <w:rsid w:val="00ED3F0A"/>
    <w:rsid w:val="00ED6D27"/>
    <w:rsid w:val="00F01F46"/>
    <w:rsid w:val="00F52230"/>
    <w:rsid w:val="00F94153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480424A"/>
  <w15:chartTrackingRefBased/>
  <w15:docId w15:val="{60C7018E-04EE-45B6-9307-77CEF471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0E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46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675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4B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tv2131">
    <w:name w:val="tv2131"/>
    <w:basedOn w:val="Normal"/>
    <w:rsid w:val="00CF441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uiPriority w:val="99"/>
    <w:rsid w:val="00CF441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9739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D0E5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4D0E53"/>
    <w:pPr>
      <w:spacing w:before="69" w:after="69" w:line="240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D0E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E53"/>
    <w:rPr>
      <w:b/>
      <w:bCs/>
      <w:sz w:val="20"/>
      <w:szCs w:val="20"/>
    </w:rPr>
  </w:style>
  <w:style w:type="character" w:customStyle="1" w:styleId="st1">
    <w:name w:val="st1"/>
    <w:uiPriority w:val="99"/>
    <w:rsid w:val="00402FEA"/>
  </w:style>
  <w:style w:type="character" w:styleId="Emphasis">
    <w:name w:val="Emphasis"/>
    <w:basedOn w:val="DefaultParagraphFont"/>
    <w:uiPriority w:val="20"/>
    <w:qFormat/>
    <w:rsid w:val="00976D69"/>
    <w:rPr>
      <w:i/>
      <w:iCs/>
    </w:rPr>
  </w:style>
  <w:style w:type="paragraph" w:customStyle="1" w:styleId="tv213">
    <w:name w:val="tv213"/>
    <w:basedOn w:val="Normal"/>
    <w:rsid w:val="00C8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734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8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a.Dzerviniece@kp.gov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548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548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ars.Eglitis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6E5C-4F23-4A61-A851-AA1470E7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5217</Words>
  <Characters>2975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Dzērviniece</dc:creator>
  <cp:keywords>Sākotnējās ietekmes novērtējuma ziņojums (anotācija)</cp:keywords>
  <dc:description/>
  <cp:lastModifiedBy>Laimdota Adlere</cp:lastModifiedBy>
  <cp:revision>3</cp:revision>
  <cp:lastPrinted>2019-11-26T16:38:00Z</cp:lastPrinted>
  <dcterms:created xsi:type="dcterms:W3CDTF">2019-12-16T09:00:00Z</dcterms:created>
  <dcterms:modified xsi:type="dcterms:W3CDTF">2019-12-16T09:00:00Z</dcterms:modified>
</cp:coreProperties>
</file>